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341" w:rsidRPr="005C51C1" w:rsidRDefault="00D9116B" w:rsidP="000B3341">
      <w:pPr>
        <w:jc w:val="both"/>
        <w:rPr>
          <w:rFonts w:ascii="Calibri" w:hAnsi="Calibri"/>
          <w:b/>
          <w:bCs/>
          <w:sz w:val="24"/>
          <w:szCs w:val="24"/>
        </w:rPr>
      </w:pPr>
      <w:r w:rsidRPr="00D9116B">
        <w:rPr>
          <w:rFonts w:ascii="Calibri" w:hAnsi="Calibr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strokecolor="#92cddc" strokeweight="1pt">
            <v:fill color2="#b6dde8" rotate="t" focusposition="1" focussize="" focus="100%" type="gradient"/>
            <v:shadow on="t" type="perspective" color="#205867" opacity=".5" offset="1pt" offset2="-3pt"/>
            <v:textbox>
              <w:txbxContent>
                <w:p w:rsidR="000B3341" w:rsidRPr="00BF05E8" w:rsidRDefault="000B3341" w:rsidP="000B3341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0B3341" w:rsidRPr="005C51C1" w:rsidRDefault="000B3341" w:rsidP="000B3341">
      <w:pPr>
        <w:jc w:val="both"/>
        <w:rPr>
          <w:rFonts w:ascii="Calibri" w:hAnsi="Calibri"/>
          <w:b/>
          <w:bCs/>
          <w:sz w:val="24"/>
          <w:szCs w:val="24"/>
        </w:rPr>
      </w:pPr>
    </w:p>
    <w:p w:rsidR="000B3341" w:rsidRPr="005C51C1" w:rsidRDefault="000B3341" w:rsidP="000B3341">
      <w:pPr>
        <w:jc w:val="both"/>
        <w:rPr>
          <w:rFonts w:ascii="Calibri" w:hAnsi="Calibr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0B3341" w:rsidRPr="00ED006B" w:rsidTr="003C44B3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Nombre del Indicador</w:t>
            </w:r>
          </w:p>
        </w:tc>
        <w:tc>
          <w:tcPr>
            <w:tcW w:w="6379" w:type="dxa"/>
          </w:tcPr>
          <w:p w:rsidR="00973D16" w:rsidRPr="00ED006B" w:rsidRDefault="00973D16" w:rsidP="00973D16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  <w:t>Índice de volumen industrial (IVI)</w:t>
            </w:r>
          </w:p>
          <w:p w:rsidR="00ED006B" w:rsidRPr="00ED006B" w:rsidRDefault="00ED006B" w:rsidP="00973D16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Índice de producción industrial </w:t>
            </w:r>
            <w:r w:rsidRPr="00ED006B"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  <w:t>(</w:t>
            </w:r>
            <w:r w:rsidRPr="00ED006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IPI</w:t>
            </w:r>
            <w:r w:rsidRPr="00ED006B"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  <w:t>)</w:t>
            </w:r>
          </w:p>
        </w:tc>
      </w:tr>
      <w:tr w:rsidR="000B3341" w:rsidRPr="00ED006B" w:rsidTr="003C44B3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Operación Estadística</w:t>
            </w:r>
          </w:p>
        </w:tc>
        <w:tc>
          <w:tcPr>
            <w:tcW w:w="6379" w:type="dxa"/>
          </w:tcPr>
          <w:p w:rsidR="000B3341" w:rsidRPr="00ED006B" w:rsidRDefault="00A247C0" w:rsidP="008D4190">
            <w:pPr>
              <w:jc w:val="both"/>
              <w:cnfStyle w:val="000000100000"/>
              <w:rPr>
                <w:rFonts w:asciiTheme="minorHAnsi" w:hAnsiTheme="minorHAnsi" w:cstheme="minorHAnsi"/>
                <w:b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szCs w:val="22"/>
              </w:rPr>
              <w:t>Encuesta</w:t>
            </w:r>
          </w:p>
        </w:tc>
      </w:tr>
      <w:tr w:rsidR="000B3341" w:rsidRPr="00ED006B" w:rsidTr="003C44B3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Definición del Indicador</w:t>
            </w:r>
          </w:p>
        </w:tc>
        <w:tc>
          <w:tcPr>
            <w:tcW w:w="6379" w:type="dxa"/>
          </w:tcPr>
          <w:p w:rsidR="00331A86" w:rsidRDefault="00A247C0" w:rsidP="00F22FE5">
            <w:pPr>
              <w:jc w:val="both"/>
              <w:cnfStyle w:val="000000010000"/>
              <w:rPr>
                <w:rFonts w:asciiTheme="minorHAnsi" w:hAnsiTheme="minorHAnsi" w:cstheme="minorHAnsi"/>
                <w:bCs/>
                <w:szCs w:val="22"/>
              </w:rPr>
            </w:pPr>
            <w:r w:rsidRPr="00ED006B">
              <w:rPr>
                <w:rFonts w:asciiTheme="minorHAnsi" w:hAnsiTheme="minorHAnsi" w:cstheme="minorHAnsi"/>
                <w:bCs/>
                <w:szCs w:val="22"/>
              </w:rPr>
              <w:t xml:space="preserve">El índice de volumen industrial, es un </w:t>
            </w:r>
            <w:r w:rsidR="00775CE5">
              <w:rPr>
                <w:rFonts w:asciiTheme="minorHAnsi" w:hAnsiTheme="minorHAnsi" w:cstheme="minorHAnsi"/>
                <w:bCs/>
                <w:szCs w:val="22"/>
              </w:rPr>
              <w:t xml:space="preserve">indicador que mide las variaciones y tendencia que tiene la producción de bienes </w:t>
            </w:r>
            <w:r w:rsidR="00F22FE5">
              <w:rPr>
                <w:rFonts w:asciiTheme="minorHAnsi" w:hAnsiTheme="minorHAnsi" w:cstheme="minorHAnsi"/>
                <w:bCs/>
                <w:szCs w:val="22"/>
              </w:rPr>
              <w:t xml:space="preserve">físicos manufacturados en el país. Esta información es clasificada a nivel de secciones, </w:t>
            </w:r>
            <w:r w:rsidR="00775CE5">
              <w:rPr>
                <w:rFonts w:asciiTheme="minorHAnsi" w:hAnsiTheme="minorHAnsi" w:cstheme="minorHAnsi"/>
                <w:bCs/>
                <w:szCs w:val="22"/>
              </w:rPr>
              <w:t xml:space="preserve">divisiones </w:t>
            </w:r>
            <w:r w:rsidR="00F22FE5">
              <w:rPr>
                <w:rFonts w:asciiTheme="minorHAnsi" w:hAnsiTheme="minorHAnsi" w:cstheme="minorHAnsi"/>
                <w:bCs/>
                <w:szCs w:val="22"/>
              </w:rPr>
              <w:t>y grupos de la Clasificación Industrial Internacional Uniforme  (</w:t>
            </w:r>
            <w:r w:rsidR="00775CE5">
              <w:rPr>
                <w:rFonts w:asciiTheme="minorHAnsi" w:hAnsiTheme="minorHAnsi" w:cstheme="minorHAnsi"/>
                <w:bCs/>
                <w:szCs w:val="22"/>
              </w:rPr>
              <w:t>CIIU3</w:t>
            </w:r>
            <w:r w:rsidR="00F22FE5">
              <w:rPr>
                <w:rFonts w:asciiTheme="minorHAnsi" w:hAnsiTheme="minorHAnsi" w:cstheme="minorHAnsi"/>
                <w:bCs/>
                <w:szCs w:val="22"/>
              </w:rPr>
              <w:t>)</w:t>
            </w:r>
            <w:r w:rsidR="00775CE5">
              <w:rPr>
                <w:rFonts w:asciiTheme="minorHAnsi" w:hAnsiTheme="minorHAnsi" w:cstheme="minorHAnsi"/>
                <w:bCs/>
                <w:szCs w:val="22"/>
              </w:rPr>
              <w:t xml:space="preserve"> </w:t>
            </w:r>
            <w:r w:rsidR="00F22FE5">
              <w:rPr>
                <w:rFonts w:asciiTheme="minorHAnsi" w:hAnsiTheme="minorHAnsi" w:cstheme="minorHAnsi"/>
                <w:bCs/>
                <w:szCs w:val="22"/>
              </w:rPr>
              <w:t xml:space="preserve"> y de la Clasificación Central de Producto</w:t>
            </w:r>
            <w:r w:rsidR="00C00D34">
              <w:rPr>
                <w:rFonts w:asciiTheme="minorHAnsi" w:hAnsiTheme="minorHAnsi" w:cstheme="minorHAnsi"/>
                <w:bCs/>
                <w:szCs w:val="22"/>
              </w:rPr>
              <w:t xml:space="preserve"> </w:t>
            </w:r>
            <w:r w:rsidR="00F22FE5">
              <w:rPr>
                <w:rFonts w:asciiTheme="minorHAnsi" w:hAnsiTheme="minorHAnsi" w:cstheme="minorHAnsi"/>
                <w:bCs/>
                <w:szCs w:val="22"/>
              </w:rPr>
              <w:t xml:space="preserve"> (CPC)</w:t>
            </w:r>
            <w:r w:rsidR="00C00D34">
              <w:rPr>
                <w:rFonts w:asciiTheme="minorHAnsi" w:hAnsiTheme="minorHAnsi" w:cstheme="minorHAnsi"/>
                <w:bCs/>
                <w:szCs w:val="22"/>
              </w:rPr>
              <w:t>.</w:t>
            </w:r>
          </w:p>
          <w:p w:rsidR="00C00D34" w:rsidRDefault="00C00D34" w:rsidP="00F22FE5">
            <w:pPr>
              <w:jc w:val="both"/>
              <w:cnfStyle w:val="000000010000"/>
              <w:rPr>
                <w:rFonts w:asciiTheme="minorHAnsi" w:hAnsiTheme="minorHAnsi" w:cstheme="minorHAnsi"/>
                <w:bCs/>
                <w:szCs w:val="22"/>
              </w:rPr>
            </w:pPr>
          </w:p>
          <w:p w:rsidR="00331A86" w:rsidRPr="00ED006B" w:rsidRDefault="00331A86" w:rsidP="008D4190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EC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 xml:space="preserve">Base: </w:t>
            </w:r>
            <w:r w:rsidR="00775CE5">
              <w:rPr>
                <w:rFonts w:asciiTheme="minorHAnsi" w:hAnsiTheme="minorHAnsi" w:cstheme="minorHAnsi"/>
                <w:bCs/>
                <w:szCs w:val="22"/>
              </w:rPr>
              <w:t>Julio-Diciembre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 2003</w:t>
            </w:r>
            <w:r w:rsidR="00775CE5">
              <w:rPr>
                <w:rFonts w:asciiTheme="minorHAnsi" w:hAnsiTheme="minorHAnsi" w:cstheme="minorHAnsi"/>
                <w:bCs/>
                <w:szCs w:val="22"/>
              </w:rPr>
              <w:t>=100</w:t>
            </w:r>
          </w:p>
          <w:p w:rsidR="000B3341" w:rsidRPr="00ED006B" w:rsidRDefault="000B3341" w:rsidP="008D4190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EC"/>
              </w:rPr>
            </w:pPr>
          </w:p>
        </w:tc>
      </w:tr>
      <w:tr w:rsidR="000B3341" w:rsidRPr="00ED006B" w:rsidTr="003C44B3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Unidad de Medida</w:t>
            </w:r>
          </w:p>
        </w:tc>
        <w:tc>
          <w:tcPr>
            <w:tcW w:w="6379" w:type="dxa"/>
          </w:tcPr>
          <w:p w:rsidR="000B3341" w:rsidRPr="00ED006B" w:rsidRDefault="003C44B3" w:rsidP="008D4190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szCs w:val="22"/>
                <w:lang w:val="es-CL"/>
              </w:rPr>
              <w:t>Número í</w:t>
            </w:r>
            <w:r w:rsidR="000B3341" w:rsidRPr="00ED006B">
              <w:rPr>
                <w:rFonts w:asciiTheme="minorHAnsi" w:hAnsiTheme="minorHAnsi" w:cstheme="minorHAnsi"/>
                <w:szCs w:val="22"/>
                <w:lang w:val="es-CL"/>
              </w:rPr>
              <w:t>ndice</w:t>
            </w:r>
          </w:p>
        </w:tc>
      </w:tr>
      <w:tr w:rsidR="000B3341" w:rsidRPr="00ED006B" w:rsidTr="003C44B3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Fórmula de Cálculo del Indicador</w:t>
            </w:r>
          </w:p>
        </w:tc>
        <w:tc>
          <w:tcPr>
            <w:tcW w:w="6379" w:type="dxa"/>
          </w:tcPr>
          <w:p w:rsidR="00230FC5" w:rsidRDefault="00230FC5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</w:p>
          <w:p w:rsidR="00767FB9" w:rsidRDefault="00DD2E14" w:rsidP="00767FB9">
            <w:pPr>
              <w:pStyle w:val="Sinespaciado"/>
              <w:jc w:val="center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767FB9">
              <w:rPr>
                <w:rFonts w:asciiTheme="minorHAnsi" w:hAnsiTheme="minorHAnsi" w:cstheme="minorHAnsi"/>
                <w:position w:val="-32"/>
                <w:szCs w:val="22"/>
              </w:rPr>
              <w:object w:dxaOrig="2320" w:dyaOrig="7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8.6pt;height:48.95pt" o:ole="">
                  <v:imagedata r:id="rId7" o:title=""/>
                </v:shape>
                <o:OLEObject Type="Embed" ProgID="Equation.3" ShapeID="_x0000_i1025" DrawAspect="Content" ObjectID="_1405156580" r:id="rId8"/>
              </w:object>
            </w:r>
          </w:p>
          <w:p w:rsidR="00767FB9" w:rsidRDefault="00767FB9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</w:p>
          <w:p w:rsidR="00767FB9" w:rsidRPr="00F25A74" w:rsidRDefault="00767FB9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F25A74">
              <w:rPr>
                <w:rFonts w:asciiTheme="minorHAnsi" w:hAnsiTheme="minorHAnsi" w:cstheme="minorHAnsi"/>
                <w:szCs w:val="22"/>
              </w:rPr>
              <w:object w:dxaOrig="380" w:dyaOrig="380">
                <v:shape id="_x0000_i1026" type="#_x0000_t75" style="width:19pt;height:19pt" o:ole="">
                  <v:imagedata r:id="rId9" o:title=""/>
                </v:shape>
                <o:OLEObject Type="Embed" ProgID="Equation.3" ShapeID="_x0000_i1026" DrawAspect="Content" ObjectID="_1405156581" r:id="rId10"/>
              </w:object>
            </w:r>
            <w:r w:rsidRPr="00F25A74">
              <w:rPr>
                <w:rFonts w:asciiTheme="minorHAnsi" w:hAnsiTheme="minorHAnsi" w:cstheme="minorHAnsi"/>
                <w:szCs w:val="22"/>
              </w:rPr>
              <w:t>: Índice de precios productor del nivel de agrupación i en el período base del IPI (las bases del IPP y del IPI pueden ser período diferentes).</w:t>
            </w:r>
          </w:p>
          <w:p w:rsidR="00F25A74" w:rsidRPr="00F25A74" w:rsidRDefault="00767FB9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F25A74">
              <w:rPr>
                <w:rFonts w:asciiTheme="minorHAnsi" w:hAnsiTheme="minorHAnsi" w:cstheme="minorHAnsi"/>
                <w:szCs w:val="22"/>
              </w:rPr>
              <w:object w:dxaOrig="360" w:dyaOrig="380">
                <v:shape id="_x0000_i1027" type="#_x0000_t75" style="width:17.85pt;height:19pt" o:ole="">
                  <v:imagedata r:id="rId11" o:title=""/>
                </v:shape>
                <o:OLEObject Type="Embed" ProgID="Equation.3" ShapeID="_x0000_i1027" DrawAspect="Content" ObjectID="_1405156582" r:id="rId12"/>
              </w:object>
            </w:r>
            <w:r w:rsidRPr="00F25A74">
              <w:rPr>
                <w:rFonts w:asciiTheme="minorHAnsi" w:hAnsiTheme="minorHAnsi" w:cstheme="minorHAnsi"/>
                <w:szCs w:val="22"/>
              </w:rPr>
              <w:t xml:space="preserve">: </w:t>
            </w:r>
            <w:r w:rsidR="00F25A74" w:rsidRPr="00F25A74">
              <w:rPr>
                <w:rFonts w:asciiTheme="minorHAnsi" w:hAnsiTheme="minorHAnsi" w:cstheme="minorHAnsi"/>
                <w:szCs w:val="22"/>
              </w:rPr>
              <w:t>Cantidad física de un producto i en el período o mes base: 1/12 de la producción física del año 2000 (promedio mensual de la producción anual).</w:t>
            </w:r>
          </w:p>
          <w:p w:rsidR="00767FB9" w:rsidRDefault="00DD2E14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3E399A">
              <w:rPr>
                <w:position w:val="-14"/>
              </w:rPr>
              <w:object w:dxaOrig="340" w:dyaOrig="380">
                <v:shape id="_x0000_i1028" type="#_x0000_t75" style="width:17.3pt;height:19pt" o:ole="">
                  <v:imagedata r:id="rId13" o:title=""/>
                </v:shape>
                <o:OLEObject Type="Embed" ProgID="Equation.3" ShapeID="_x0000_i1028" DrawAspect="Content" ObjectID="_1405156583" r:id="rId14"/>
              </w:object>
            </w:r>
            <w:r w:rsidR="003265A5">
              <w:rPr>
                <w:rFonts w:asciiTheme="minorHAnsi" w:hAnsiTheme="minorHAnsi" w:cstheme="minorHAnsi"/>
                <w:szCs w:val="22"/>
              </w:rPr>
              <w:t>: C</w:t>
            </w:r>
            <w:r w:rsidR="003265A5" w:rsidRPr="003265A5">
              <w:rPr>
                <w:rFonts w:asciiTheme="minorHAnsi" w:hAnsiTheme="minorHAnsi" w:cstheme="minorHAnsi"/>
                <w:szCs w:val="22"/>
              </w:rPr>
              <w:t>antidad física de un producto i en el período o mes corriente</w:t>
            </w:r>
            <w:r w:rsidR="003265A5">
              <w:rPr>
                <w:rFonts w:asciiTheme="minorHAnsi" w:hAnsiTheme="minorHAnsi" w:cstheme="minorHAnsi"/>
                <w:szCs w:val="22"/>
              </w:rPr>
              <w:t>.</w:t>
            </w:r>
          </w:p>
          <w:p w:rsidR="003265A5" w:rsidRDefault="003265A5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</w:p>
          <w:p w:rsidR="003C44B3" w:rsidRPr="00ED006B" w:rsidRDefault="003C44B3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ED006B">
              <w:rPr>
                <w:rFonts w:asciiTheme="minorHAnsi" w:hAnsiTheme="minorHAnsi" w:cstheme="minorHAnsi"/>
                <w:szCs w:val="22"/>
              </w:rPr>
              <w:t>El IVI se calcula con la información de los valores monetarios mensuales de las ventas y la variación de inventarios de los productos terminados fabricados por los establecimientos que en el país están dedicados a las actividades de Manufactura.</w:t>
            </w:r>
          </w:p>
        </w:tc>
      </w:tr>
      <w:tr w:rsidR="000B3341" w:rsidRPr="00ED006B" w:rsidTr="003C44B3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jc w:val="both"/>
              <w:rPr>
                <w:rFonts w:asciiTheme="minorHAnsi" w:hAnsiTheme="minorHAnsi" w:cstheme="minorHAnsi"/>
                <w:bCs w:val="0"/>
                <w:szCs w:val="22"/>
              </w:rPr>
            </w:pPr>
            <w:r w:rsidRPr="00F22FE5">
              <w:rPr>
                <w:rFonts w:asciiTheme="minorHAnsi" w:hAnsiTheme="minorHAnsi" w:cstheme="minorHAnsi"/>
                <w:szCs w:val="22"/>
              </w:rPr>
              <w:t>Definición de las variables que componen el indicador</w:t>
            </w:r>
          </w:p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6379" w:type="dxa"/>
          </w:tcPr>
          <w:p w:rsidR="000B3341" w:rsidRDefault="001F58E6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r w:rsidRPr="00BD4CAB"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  <w:t>Establecimiento manufacturero:</w:t>
            </w:r>
            <w:r w:rsidR="00C00D34"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 E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>s la unidad económica dedicada a la producción del grupo más homogéneo de bienes y servicios, usualmente efectuada en una sola localización física, aunque a veces pueda abarcar áreas mayores, para la cual, existan registros contables separados, que puedan proveer datos concernientes a la producción de esos bienes y servicios y a los recursos</w:t>
            </w:r>
            <w:r w:rsidR="00BD4CAB"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 materiales y humanos utilizados para llevar a cabo esa producción.</w:t>
            </w:r>
          </w:p>
          <w:p w:rsidR="00BD4CA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</w:p>
          <w:p w:rsidR="00510590" w:rsidRDefault="00510590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bookmarkStart w:id="0" w:name="_GoBack"/>
            <w:bookmarkEnd w:id="0"/>
          </w:p>
          <w:p w:rsidR="00BD4CA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r w:rsidRPr="00BD4CAB"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  <w:lastRenderedPageBreak/>
              <w:t>Valor total ex</w:t>
            </w:r>
            <w:r w:rsidR="00A02A36"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  <w:t xml:space="preserve"> </w:t>
            </w:r>
            <w:r w:rsidRPr="00BD4CAB"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  <w:t>fábrica de las ventas en el mes de referencia: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 Se refiere al valor monetario mensual que han generado las ventas de los productos fabricados por el establecimiento, valorados a precio productor, es decir al precio de venta al público en la puerta del establecimiento.</w:t>
            </w:r>
          </w:p>
          <w:p w:rsidR="00BD4CA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</w:p>
          <w:p w:rsidR="00BD4CA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r w:rsidRPr="00BD4CAB"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  <w:t>Inventario de los productos terminados al último día del mes de referencia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>: es el valor monetario que tiene el inventario de los productos fabricados por el establecimiento al último día del mes de referencia.</w:t>
            </w:r>
          </w:p>
          <w:p w:rsidR="00BD4CA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</w:p>
          <w:p w:rsidR="00BD4CA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r w:rsidRPr="00331A86"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  <w:t>Producción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>: Se refiere a los valores monetarios de los productos terminados, elaborados en el período de referencia por el establecimiento manufacturero.</w:t>
            </w:r>
            <w:r w:rsidR="00331A86"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  La producción se estima a partir de los valores de ventas.</w:t>
            </w:r>
          </w:p>
          <w:p w:rsidR="00BD4CAB" w:rsidRPr="00ED006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</w:p>
        </w:tc>
      </w:tr>
      <w:tr w:rsidR="000B3341" w:rsidRPr="00ED006B" w:rsidTr="003C44B3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Interpretación del Indicador</w:t>
            </w:r>
          </w:p>
        </w:tc>
        <w:tc>
          <w:tcPr>
            <w:tcW w:w="6379" w:type="dxa"/>
          </w:tcPr>
          <w:p w:rsidR="000B3341" w:rsidRPr="00ED006B" w:rsidRDefault="00B2590C" w:rsidP="003D6978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El índice de volume</w:t>
            </w:r>
            <w:r w:rsidR="00C00D34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n industrial para el mes de </w:t>
            </w:r>
            <w:r w:rsidR="00AB2835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Diciembre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del 20</w:t>
            </w:r>
            <w:r w:rsidR="00AB2835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0</w:t>
            </w:r>
            <w:r w:rsidR="003D6978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8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es de </w:t>
            </w:r>
            <w:r w:rsidR="00C00D34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1</w:t>
            </w:r>
            <w:r w:rsidR="00AB2835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5</w:t>
            </w:r>
            <w:r w:rsidR="003D6978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3</w:t>
            </w:r>
            <w:r w:rsidR="00C00D34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,</w:t>
            </w:r>
            <w:r w:rsidR="003D6978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19</w:t>
            </w:r>
            <w:r w:rsidR="00C00D34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.</w:t>
            </w:r>
          </w:p>
        </w:tc>
      </w:tr>
      <w:tr w:rsidR="000B3341" w:rsidRPr="00ED006B" w:rsidTr="003C44B3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Fuente de información</w:t>
            </w:r>
          </w:p>
        </w:tc>
        <w:tc>
          <w:tcPr>
            <w:tcW w:w="6379" w:type="dxa"/>
          </w:tcPr>
          <w:p w:rsidR="00ED006B" w:rsidRDefault="00ED006B" w:rsidP="00ED006B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szCs w:val="22"/>
                <w:lang w:val="es-CL"/>
              </w:rPr>
              <w:t>Instituto Nacional de Estadística y Censos (INEC)</w:t>
            </w:r>
          </w:p>
          <w:p w:rsidR="000B3341" w:rsidRPr="00ED006B" w:rsidRDefault="00ED006B" w:rsidP="00ED006B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szCs w:val="22"/>
                <w:lang w:val="es-CL"/>
              </w:rPr>
              <w:t>Dirección de Estadísticas Económicas (DIEC)</w:t>
            </w:r>
          </w:p>
        </w:tc>
      </w:tr>
      <w:tr w:rsidR="000B3341" w:rsidRPr="00ED006B" w:rsidTr="003C44B3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Cs w:val="22"/>
              </w:rPr>
              <w:t>Fuente de datos</w:t>
            </w:r>
          </w:p>
        </w:tc>
        <w:tc>
          <w:tcPr>
            <w:tcW w:w="6379" w:type="dxa"/>
          </w:tcPr>
          <w:p w:rsidR="00C00D34" w:rsidRDefault="00C00D34" w:rsidP="008D4190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Establecimientos Económicos investigados</w:t>
            </w:r>
            <w:r w:rsidR="009E4491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</w:t>
            </w:r>
          </w:p>
          <w:p w:rsidR="000B3341" w:rsidRDefault="009E4491" w:rsidP="008D4190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9E4491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Encuesta de Producción Industrial- IPI</w:t>
            </w:r>
          </w:p>
          <w:p w:rsidR="004F4ED9" w:rsidRPr="00ED006B" w:rsidRDefault="004F4ED9" w:rsidP="008D4190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Índice de Volumen Industrial- IVI</w:t>
            </w:r>
          </w:p>
        </w:tc>
      </w:tr>
      <w:tr w:rsidR="000B3341" w:rsidRPr="00ED006B" w:rsidTr="003C44B3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0B3341" w:rsidRPr="00F22FE5" w:rsidRDefault="00C00D34" w:rsidP="008D4190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Periodo de Referencia</w:t>
            </w:r>
          </w:p>
        </w:tc>
        <w:tc>
          <w:tcPr>
            <w:tcW w:w="6379" w:type="dxa"/>
          </w:tcPr>
          <w:p w:rsidR="000B3341" w:rsidRPr="00ED006B" w:rsidRDefault="00BD4CAB" w:rsidP="00C00D34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</w:rPr>
              <w:t>Mes anterior a la investigación</w:t>
            </w:r>
            <w:r w:rsidR="00C00D34">
              <w:rPr>
                <w:rFonts w:asciiTheme="minorHAnsi" w:hAnsiTheme="minorHAnsi" w:cstheme="minorHAnsi"/>
                <w:szCs w:val="22"/>
              </w:rPr>
              <w:t>.</w:t>
            </w:r>
          </w:p>
        </w:tc>
      </w:tr>
      <w:tr w:rsidR="000B3341" w:rsidRPr="00ED006B" w:rsidTr="003C44B3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Cs w:val="22"/>
              </w:rPr>
              <w:t>Desagregaciones</w:t>
            </w:r>
          </w:p>
        </w:tc>
        <w:tc>
          <w:tcPr>
            <w:tcW w:w="6379" w:type="dxa"/>
          </w:tcPr>
          <w:p w:rsidR="000B3341" w:rsidRPr="00ED006B" w:rsidRDefault="00C00D34" w:rsidP="008D4190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Nacional.</w:t>
            </w:r>
          </w:p>
        </w:tc>
      </w:tr>
      <w:tr w:rsidR="000B3341" w:rsidRPr="00ED006B" w:rsidTr="003C44B3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 w:rsidRPr="00F22FE5">
              <w:rPr>
                <w:rFonts w:asciiTheme="minorHAnsi" w:hAnsiTheme="minorHAnsi" w:cstheme="minorHAnsi"/>
                <w:szCs w:val="22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0B3341" w:rsidRPr="00ED006B" w:rsidRDefault="007D0FA5" w:rsidP="008D4190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Julio 2003- </w:t>
            </w:r>
            <w:r w:rsidR="00AB2835">
              <w:rPr>
                <w:rFonts w:asciiTheme="minorHAnsi" w:hAnsiTheme="minorHAnsi" w:cstheme="minorHAnsi"/>
                <w:szCs w:val="22"/>
              </w:rPr>
              <w:t>Diciembre 200</w:t>
            </w:r>
            <w:r w:rsidR="003D6978">
              <w:rPr>
                <w:rFonts w:asciiTheme="minorHAnsi" w:hAnsiTheme="minorHAnsi" w:cstheme="minorHAnsi"/>
                <w:szCs w:val="22"/>
              </w:rPr>
              <w:t>8</w:t>
            </w:r>
          </w:p>
          <w:p w:rsidR="000B3341" w:rsidRPr="00ED006B" w:rsidRDefault="000B3341" w:rsidP="008D4190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</w:p>
        </w:tc>
      </w:tr>
      <w:tr w:rsidR="000B3341" w:rsidRPr="00ED006B" w:rsidTr="003C44B3">
        <w:trPr>
          <w:cnfStyle w:val="000000010000"/>
          <w:trHeight w:val="419"/>
        </w:trPr>
        <w:tc>
          <w:tcPr>
            <w:cnfStyle w:val="001000000000"/>
            <w:tcW w:w="4219" w:type="dxa"/>
          </w:tcPr>
          <w:p w:rsidR="000B3341" w:rsidRPr="00F22FE5" w:rsidRDefault="000B3341" w:rsidP="000F7FCD">
            <w:pPr>
              <w:jc w:val="both"/>
              <w:rPr>
                <w:rFonts w:asciiTheme="minorHAnsi" w:hAnsiTheme="minorHAnsi" w:cstheme="minorHAnsi"/>
                <w:bCs w:val="0"/>
                <w:szCs w:val="22"/>
              </w:rPr>
            </w:pPr>
            <w:r w:rsidRPr="00F22FE5">
              <w:rPr>
                <w:rFonts w:asciiTheme="minorHAnsi" w:hAnsiTheme="minorHAnsi" w:cstheme="minorHAnsi"/>
                <w:szCs w:val="22"/>
              </w:rPr>
              <w:t>Periodicidad de</w:t>
            </w:r>
            <w:r w:rsidR="000F7FCD" w:rsidRPr="00F22FE5">
              <w:rPr>
                <w:rFonts w:asciiTheme="minorHAnsi" w:hAnsiTheme="minorHAnsi" w:cstheme="minorHAnsi"/>
                <w:szCs w:val="22"/>
              </w:rPr>
              <w:t xml:space="preserve"> producción del indicador</w:t>
            </w:r>
          </w:p>
        </w:tc>
        <w:tc>
          <w:tcPr>
            <w:tcW w:w="6379" w:type="dxa"/>
          </w:tcPr>
          <w:p w:rsidR="000B3341" w:rsidRPr="00ED006B" w:rsidRDefault="000B3341" w:rsidP="00ED006B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ED006B">
              <w:rPr>
                <w:rFonts w:asciiTheme="minorHAnsi" w:hAnsiTheme="minorHAnsi" w:cstheme="minorHAnsi"/>
                <w:szCs w:val="22"/>
                <w:lang w:val="es-CL"/>
              </w:rPr>
              <w:t>Mensual</w:t>
            </w:r>
          </w:p>
        </w:tc>
      </w:tr>
      <w:tr w:rsidR="000B3341" w:rsidRPr="00ED006B" w:rsidTr="003C44B3">
        <w:trPr>
          <w:cnfStyle w:val="000000100000"/>
          <w:trHeight w:val="383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jc w:val="both"/>
              <w:rPr>
                <w:rFonts w:asciiTheme="minorHAnsi" w:hAnsiTheme="minorHAnsi" w:cstheme="minorHAnsi"/>
                <w:bCs w:val="0"/>
                <w:szCs w:val="22"/>
              </w:rPr>
            </w:pPr>
            <w:r w:rsidRPr="00F22FE5">
              <w:rPr>
                <w:rFonts w:asciiTheme="minorHAnsi" w:hAnsiTheme="minorHAnsi" w:cstheme="minorHAnsi"/>
                <w:szCs w:val="22"/>
              </w:rPr>
              <w:t>Uso del Indicador</w:t>
            </w:r>
          </w:p>
        </w:tc>
        <w:tc>
          <w:tcPr>
            <w:tcW w:w="6379" w:type="dxa"/>
          </w:tcPr>
          <w:p w:rsidR="000B3341" w:rsidRPr="00ED006B" w:rsidRDefault="00AF51A7" w:rsidP="008D4190">
            <w:pPr>
              <w:jc w:val="both"/>
              <w:cnfStyle w:val="000000100000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 xml:space="preserve">Sirve </w:t>
            </w:r>
            <w:r w:rsidR="003C44B3" w:rsidRPr="00ED006B">
              <w:rPr>
                <w:rFonts w:asciiTheme="minorHAnsi" w:hAnsiTheme="minorHAnsi" w:cstheme="minorHAnsi"/>
                <w:bCs/>
                <w:szCs w:val="22"/>
              </w:rPr>
              <w:t>al Gobierno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 Central</w:t>
            </w:r>
            <w:r w:rsidR="003C44B3" w:rsidRPr="00ED006B">
              <w:rPr>
                <w:rFonts w:asciiTheme="minorHAnsi" w:hAnsiTheme="minorHAnsi" w:cstheme="minorHAnsi"/>
                <w:bCs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Cs w:val="22"/>
              </w:rPr>
              <w:t>y al público en general de herramienta para</w:t>
            </w:r>
            <w:r w:rsidR="003C44B3" w:rsidRPr="00ED006B">
              <w:rPr>
                <w:rFonts w:asciiTheme="minorHAnsi" w:hAnsiTheme="minorHAnsi" w:cstheme="minorHAnsi"/>
                <w:bCs/>
                <w:szCs w:val="22"/>
              </w:rPr>
              <w:t xml:space="preserve"> la evaluación 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del comportamiento del sector Manufacturero dentro </w:t>
            </w:r>
            <w:r w:rsidR="003C44B3" w:rsidRPr="00ED006B">
              <w:rPr>
                <w:rFonts w:asciiTheme="minorHAnsi" w:hAnsiTheme="minorHAnsi" w:cstheme="minorHAnsi"/>
                <w:bCs/>
                <w:szCs w:val="22"/>
              </w:rPr>
              <w:t xml:space="preserve">de la economía nacional y 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para </w:t>
            </w:r>
            <w:r w:rsidR="003C44B3" w:rsidRPr="00ED006B">
              <w:rPr>
                <w:rFonts w:asciiTheme="minorHAnsi" w:hAnsiTheme="minorHAnsi" w:cstheme="minorHAnsi"/>
                <w:bCs/>
                <w:szCs w:val="22"/>
              </w:rPr>
              <w:t xml:space="preserve">la planificación 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pública y privada </w:t>
            </w:r>
            <w:r w:rsidR="003C44B3" w:rsidRPr="00ED006B">
              <w:rPr>
                <w:rFonts w:asciiTheme="minorHAnsi" w:hAnsiTheme="minorHAnsi" w:cstheme="minorHAnsi"/>
                <w:bCs/>
                <w:szCs w:val="22"/>
              </w:rPr>
              <w:t>del desarrollo industrial del país.</w:t>
            </w:r>
          </w:p>
          <w:p w:rsidR="003C44B3" w:rsidRPr="00ED006B" w:rsidRDefault="003C44B3" w:rsidP="008D4190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0B3341" w:rsidRPr="00ED006B" w:rsidTr="003C44B3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F22FE5">
              <w:rPr>
                <w:rFonts w:asciiTheme="minorHAnsi" w:hAnsiTheme="minorHAnsi" w:cstheme="minorHAnsi"/>
                <w:szCs w:val="22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0B3341" w:rsidRPr="00ED006B" w:rsidRDefault="003C44B3" w:rsidP="008D4190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ED006B">
              <w:rPr>
                <w:rFonts w:asciiTheme="minorHAnsi" w:hAnsiTheme="minorHAnsi" w:cstheme="minorHAnsi"/>
                <w:szCs w:val="22"/>
                <w:lang w:eastAsia="es-ES"/>
              </w:rPr>
              <w:t>N/A</w:t>
            </w:r>
          </w:p>
        </w:tc>
      </w:tr>
      <w:tr w:rsidR="000B3341" w:rsidRPr="00ED006B" w:rsidTr="003C44B3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F22FE5">
              <w:rPr>
                <w:rFonts w:asciiTheme="minorHAnsi" w:hAnsiTheme="minorHAnsi" w:cstheme="minorHAnsi"/>
                <w:szCs w:val="22"/>
                <w:lang w:eastAsia="es-ES"/>
              </w:rPr>
              <w:t xml:space="preserve">Información </w:t>
            </w:r>
            <w:proofErr w:type="spellStart"/>
            <w:r w:rsidRPr="00F22FE5">
              <w:rPr>
                <w:rFonts w:asciiTheme="minorHAnsi" w:hAnsiTheme="minorHAnsi" w:cstheme="minorHAnsi"/>
                <w:szCs w:val="22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0B3341" w:rsidRPr="00ED006B" w:rsidRDefault="003C44B3" w:rsidP="008D4190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ED006B">
              <w:rPr>
                <w:rFonts w:asciiTheme="minorHAnsi" w:hAnsiTheme="minorHAnsi" w:cstheme="minorHAnsi"/>
                <w:szCs w:val="22"/>
                <w:lang w:eastAsia="es-ES"/>
              </w:rPr>
              <w:t>No</w:t>
            </w:r>
          </w:p>
        </w:tc>
      </w:tr>
      <w:tr w:rsidR="000B3341" w:rsidRPr="00ED006B" w:rsidTr="003C44B3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F22FE5">
              <w:rPr>
                <w:rFonts w:asciiTheme="minorHAnsi" w:hAnsiTheme="minorHAnsi" w:cstheme="minorHAnsi"/>
                <w:szCs w:val="22"/>
                <w:lang w:eastAsia="es-ES"/>
              </w:rPr>
              <w:t>Fecha de elaboración de la ficha:</w:t>
            </w:r>
          </w:p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</w:tcPr>
          <w:p w:rsidR="000B3341" w:rsidRPr="00ED006B" w:rsidRDefault="003C44B3" w:rsidP="008D4190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szCs w:val="22"/>
                <w:lang w:val="es-ES_tradnl" w:eastAsia="es-ES"/>
              </w:rPr>
              <w:t>29 de Junio de 2012</w:t>
            </w:r>
          </w:p>
        </w:tc>
      </w:tr>
    </w:tbl>
    <w:p w:rsidR="000B3341" w:rsidRPr="005C51C1" w:rsidRDefault="000B3341" w:rsidP="000B3341">
      <w:pPr>
        <w:jc w:val="both"/>
        <w:rPr>
          <w:rFonts w:ascii="Calibri" w:hAnsi="Calibri"/>
          <w:sz w:val="24"/>
          <w:szCs w:val="24"/>
          <w:lang w:val="es-CL"/>
        </w:rPr>
      </w:pPr>
    </w:p>
    <w:sectPr w:rsidR="000B3341" w:rsidRPr="005C51C1" w:rsidSect="00A44B73">
      <w:headerReference w:type="default" r:id="rId15"/>
      <w:footerReference w:type="even" r:id="rId16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205" w:rsidRDefault="00353205" w:rsidP="00547932">
      <w:r>
        <w:separator/>
      </w:r>
    </w:p>
  </w:endnote>
  <w:endnote w:type="continuationSeparator" w:id="0">
    <w:p w:rsidR="00353205" w:rsidRDefault="00353205" w:rsidP="00547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2D" w:rsidRDefault="00D9116B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4E7F0E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2682D" w:rsidRDefault="00353205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205" w:rsidRDefault="00353205" w:rsidP="00547932">
      <w:r>
        <w:separator/>
      </w:r>
    </w:p>
  </w:footnote>
  <w:footnote w:type="continuationSeparator" w:id="0">
    <w:p w:rsidR="00353205" w:rsidRDefault="00353205" w:rsidP="005479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2D" w:rsidRDefault="004E7F0E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A2682D" w:rsidRDefault="00353205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3341"/>
    <w:rsid w:val="00066D71"/>
    <w:rsid w:val="000B3341"/>
    <w:rsid w:val="000E41F2"/>
    <w:rsid w:val="000F7FCD"/>
    <w:rsid w:val="001B55F3"/>
    <w:rsid w:val="001F58E6"/>
    <w:rsid w:val="00230FC5"/>
    <w:rsid w:val="003265A5"/>
    <w:rsid w:val="00331A86"/>
    <w:rsid w:val="00353205"/>
    <w:rsid w:val="00396F6E"/>
    <w:rsid w:val="003C44B3"/>
    <w:rsid w:val="003D6978"/>
    <w:rsid w:val="004A4B4A"/>
    <w:rsid w:val="004E7F0E"/>
    <w:rsid w:val="004F4ED9"/>
    <w:rsid w:val="00510590"/>
    <w:rsid w:val="00547932"/>
    <w:rsid w:val="005F18E4"/>
    <w:rsid w:val="00764E76"/>
    <w:rsid w:val="00767FB9"/>
    <w:rsid w:val="00775CE5"/>
    <w:rsid w:val="007D0FA5"/>
    <w:rsid w:val="00960501"/>
    <w:rsid w:val="00973D16"/>
    <w:rsid w:val="009927F5"/>
    <w:rsid w:val="009E4491"/>
    <w:rsid w:val="00A02A36"/>
    <w:rsid w:val="00A247C0"/>
    <w:rsid w:val="00AB2835"/>
    <w:rsid w:val="00AB4FD6"/>
    <w:rsid w:val="00AF51A7"/>
    <w:rsid w:val="00AF551D"/>
    <w:rsid w:val="00B2590C"/>
    <w:rsid w:val="00BA3687"/>
    <w:rsid w:val="00BD4CAB"/>
    <w:rsid w:val="00BF15BF"/>
    <w:rsid w:val="00C00D34"/>
    <w:rsid w:val="00CF604A"/>
    <w:rsid w:val="00D9116B"/>
    <w:rsid w:val="00DD2E14"/>
    <w:rsid w:val="00E21F6F"/>
    <w:rsid w:val="00E27077"/>
    <w:rsid w:val="00ED006B"/>
    <w:rsid w:val="00F22FE5"/>
    <w:rsid w:val="00F25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34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0B3341"/>
    <w:pPr>
      <w:keepNext/>
      <w:jc w:val="both"/>
      <w:outlineLvl w:val="4"/>
    </w:pPr>
    <w:rPr>
      <w:rFonts w:ascii="Tahoma" w:hAnsi="Tahoma"/>
      <w:b/>
      <w:color w:val="0000FF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0B3341"/>
    <w:rPr>
      <w:rFonts w:ascii="Tahoma" w:eastAsia="Times New Roman" w:hAnsi="Tahoma" w:cs="Times New Roman"/>
      <w:b/>
      <w:color w:val="0000FF"/>
      <w:sz w:val="20"/>
      <w:szCs w:val="20"/>
    </w:rPr>
  </w:style>
  <w:style w:type="paragraph" w:styleId="Encabezado">
    <w:name w:val="header"/>
    <w:basedOn w:val="Normal"/>
    <w:link w:val="EncabezadoCar"/>
    <w:rsid w:val="000B3341"/>
    <w:pPr>
      <w:tabs>
        <w:tab w:val="center" w:pos="4419"/>
        <w:tab w:val="right" w:pos="8838"/>
      </w:tabs>
    </w:pPr>
    <w:rPr>
      <w:sz w:val="20"/>
    </w:rPr>
  </w:style>
  <w:style w:type="character" w:customStyle="1" w:styleId="EncabezadoCar">
    <w:name w:val="Encabezado Car"/>
    <w:basedOn w:val="Fuentedeprrafopredeter"/>
    <w:link w:val="Encabezado"/>
    <w:rsid w:val="000B3341"/>
    <w:rPr>
      <w:rFonts w:ascii="Arial" w:eastAsia="Times New Roman" w:hAnsi="Arial" w:cs="Times New Roman"/>
      <w:sz w:val="20"/>
      <w:szCs w:val="20"/>
    </w:rPr>
  </w:style>
  <w:style w:type="paragraph" w:styleId="Piedepgina">
    <w:name w:val="footer"/>
    <w:basedOn w:val="Normal"/>
    <w:link w:val="PiedepginaCar"/>
    <w:uiPriority w:val="99"/>
    <w:rsid w:val="000B3341"/>
    <w:pPr>
      <w:tabs>
        <w:tab w:val="center" w:pos="4419"/>
        <w:tab w:val="right" w:pos="8838"/>
      </w:tabs>
    </w:pPr>
    <w:rPr>
      <w:sz w:val="20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B3341"/>
    <w:rPr>
      <w:rFonts w:ascii="Arial" w:eastAsia="Times New Roman" w:hAnsi="Arial" w:cs="Times New Roman"/>
      <w:sz w:val="20"/>
      <w:szCs w:val="20"/>
    </w:rPr>
  </w:style>
  <w:style w:type="character" w:styleId="Nmerodepgina">
    <w:name w:val="page number"/>
    <w:basedOn w:val="Fuentedeprrafopredeter"/>
    <w:rsid w:val="000B3341"/>
  </w:style>
  <w:style w:type="paragraph" w:styleId="Sinespaciado">
    <w:name w:val="No Spacing"/>
    <w:uiPriority w:val="1"/>
    <w:qFormat/>
    <w:rsid w:val="000B334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B33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B3341"/>
    <w:rPr>
      <w:rFonts w:ascii="Tahoma" w:eastAsia="Times New Roman" w:hAnsi="Tahoma" w:cs="Tahoma"/>
      <w:sz w:val="16"/>
      <w:szCs w:val="16"/>
      <w:lang w:val="es-ES"/>
    </w:rPr>
  </w:style>
  <w:style w:type="table" w:styleId="Cuadrculaclara-nfasis5">
    <w:name w:val="Light Grid Accent 5"/>
    <w:basedOn w:val="Tablanormal"/>
    <w:uiPriority w:val="62"/>
    <w:rsid w:val="003C44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Textodelmarcadordeposicin">
    <w:name w:val="Placeholder Text"/>
    <w:basedOn w:val="Fuentedeprrafopredeter"/>
    <w:uiPriority w:val="99"/>
    <w:semiHidden/>
    <w:rsid w:val="00767FB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12F95-ED25-4391-9B65-93CF654D1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539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cvaldivia</dc:creator>
  <cp:lastModifiedBy>fcantunia</cp:lastModifiedBy>
  <cp:revision>18</cp:revision>
  <dcterms:created xsi:type="dcterms:W3CDTF">2012-06-29T18:59:00Z</dcterms:created>
  <dcterms:modified xsi:type="dcterms:W3CDTF">2012-07-30T17:30:00Z</dcterms:modified>
</cp:coreProperties>
</file>